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КГД-20-3-11/1588-ВН от 22.01.2026</w:t>
      </w:r>
    </w:p>
    <w:p w14:paraId="526A4C4B" w14:textId="4D91BC4E" w:rsidR="00BD7502" w:rsidRPr="00BD7502" w:rsidRDefault="00BD7502" w:rsidP="00BD7502">
      <w:pPr>
        <w:spacing w:after="0" w:line="240" w:lineRule="auto"/>
        <w:ind w:left="-142" w:firstLine="142"/>
        <w:jc w:val="center"/>
        <w:outlineLvl w:val="2"/>
        <w:rPr>
          <w:rFonts w:ascii="Times New Roman" w:eastAsia="Times New Roman" w:hAnsi="Times New Roman" w:cs="Times New Roman"/>
          <w:b/>
          <w:bCs/>
          <w:sz w:val="28"/>
          <w:szCs w:val="28"/>
          <w:lang w:val="kk-KZ" w:eastAsia="ru-RU"/>
        </w:rPr>
      </w:pPr>
      <w:r w:rsidRPr="00BD7502">
        <w:rPr>
          <w:rFonts w:ascii="Times New Roman" w:eastAsia="Times New Roman" w:hAnsi="Times New Roman" w:cs="Times New Roman"/>
          <w:b/>
          <w:bCs/>
          <w:sz w:val="28"/>
          <w:szCs w:val="28"/>
          <w:lang w:val="kk-KZ" w:eastAsia="ru-RU"/>
        </w:rPr>
        <w:t xml:space="preserve">«Салық төлеушілерді салықтық тіркеуге қоюға байланысты кейбір мәселелер туралы» Қазақстан Республикасы Қаржы министрінің </w:t>
      </w:r>
      <w:r>
        <w:rPr>
          <w:rFonts w:ascii="Times New Roman" w:eastAsia="Times New Roman" w:hAnsi="Times New Roman" w:cs="Times New Roman"/>
          <w:b/>
          <w:bCs/>
          <w:sz w:val="28"/>
          <w:szCs w:val="28"/>
          <w:lang w:val="kk-KZ" w:eastAsia="ru-RU"/>
        </w:rPr>
        <w:t>2025</w:t>
      </w:r>
      <w:r w:rsidRPr="00BD7502">
        <w:rPr>
          <w:rFonts w:ascii="Times New Roman" w:eastAsia="Times New Roman" w:hAnsi="Times New Roman" w:cs="Times New Roman"/>
          <w:b/>
          <w:bCs/>
          <w:sz w:val="28"/>
          <w:szCs w:val="28"/>
          <w:lang w:val="kk-KZ" w:eastAsia="ru-RU"/>
        </w:rPr>
        <w:t xml:space="preserve"> жылғы </w:t>
      </w:r>
      <w:r>
        <w:rPr>
          <w:rFonts w:ascii="Times New Roman" w:eastAsia="Times New Roman" w:hAnsi="Times New Roman" w:cs="Times New Roman"/>
          <w:b/>
          <w:bCs/>
          <w:sz w:val="28"/>
          <w:szCs w:val="28"/>
          <w:lang w:val="kk-KZ" w:eastAsia="ru-RU"/>
        </w:rPr>
        <w:t>28</w:t>
      </w:r>
      <w:r w:rsidRPr="00BD7502">
        <w:rPr>
          <w:rFonts w:ascii="Times New Roman" w:eastAsia="Times New Roman" w:hAnsi="Times New Roman" w:cs="Times New Roman"/>
          <w:b/>
          <w:bCs/>
          <w:sz w:val="28"/>
          <w:szCs w:val="28"/>
          <w:lang w:val="kk-KZ" w:eastAsia="ru-RU"/>
        </w:rPr>
        <w:t xml:space="preserve"> </w:t>
      </w:r>
      <w:r>
        <w:rPr>
          <w:rFonts w:ascii="Times New Roman" w:eastAsia="Times New Roman" w:hAnsi="Times New Roman" w:cs="Times New Roman"/>
          <w:b/>
          <w:bCs/>
          <w:sz w:val="28"/>
          <w:szCs w:val="28"/>
          <w:lang w:val="kk-KZ" w:eastAsia="ru-RU"/>
        </w:rPr>
        <w:t>қазандағы № 640</w:t>
      </w:r>
      <w:r w:rsidRPr="00BD7502">
        <w:rPr>
          <w:rFonts w:ascii="Times New Roman" w:eastAsia="Times New Roman" w:hAnsi="Times New Roman" w:cs="Times New Roman"/>
          <w:b/>
          <w:bCs/>
          <w:sz w:val="28"/>
          <w:szCs w:val="28"/>
          <w:lang w:val="kk-KZ" w:eastAsia="ru-RU"/>
        </w:rPr>
        <w:t xml:space="preserve"> бұйрығына толықтырулар енгізу туралы» Қазақстан Қазақстан Республикасы Қаржы министрінің «___» __________ </w:t>
      </w:r>
      <w:r>
        <w:rPr>
          <w:rFonts w:ascii="Times New Roman" w:eastAsia="Times New Roman" w:hAnsi="Times New Roman" w:cs="Times New Roman"/>
          <w:b/>
          <w:bCs/>
          <w:sz w:val="28"/>
          <w:szCs w:val="28"/>
          <w:lang w:val="kk-KZ" w:eastAsia="ru-RU"/>
        </w:rPr>
        <w:t>20</w:t>
      </w:r>
      <w:r>
        <w:rPr>
          <w:rFonts w:ascii="Times New Roman" w:eastAsia="Times New Roman" w:hAnsi="Times New Roman" w:cs="Times New Roman"/>
          <w:b/>
          <w:bCs/>
          <w:sz w:val="28"/>
          <w:szCs w:val="28"/>
          <w:lang w:eastAsia="ru-RU"/>
        </w:rPr>
        <w:t>__</w:t>
      </w:r>
      <w:r w:rsidRPr="00BD7502">
        <w:rPr>
          <w:rFonts w:ascii="Times New Roman" w:eastAsia="Times New Roman" w:hAnsi="Times New Roman" w:cs="Times New Roman"/>
          <w:b/>
          <w:bCs/>
          <w:sz w:val="28"/>
          <w:szCs w:val="28"/>
          <w:lang w:val="kk-KZ" w:eastAsia="ru-RU"/>
        </w:rPr>
        <w:t xml:space="preserve"> жылғы бұйрық жобасына </w:t>
      </w:r>
    </w:p>
    <w:p w14:paraId="7DA9D40F" w14:textId="52FDB435" w:rsidR="00BD7502" w:rsidRPr="00BD7502" w:rsidRDefault="00BD7502" w:rsidP="00BD7502">
      <w:pPr>
        <w:spacing w:after="0" w:line="240" w:lineRule="auto"/>
        <w:ind w:left="-142" w:firstLine="142"/>
        <w:jc w:val="center"/>
        <w:outlineLvl w:val="2"/>
        <w:rPr>
          <w:rFonts w:ascii="Times New Roman" w:eastAsia="Times New Roman" w:hAnsi="Times New Roman" w:cs="Times New Roman"/>
          <w:b/>
          <w:bCs/>
          <w:sz w:val="28"/>
          <w:szCs w:val="28"/>
          <w:lang w:val="kk-KZ" w:eastAsia="ru-RU"/>
        </w:rPr>
      </w:pPr>
      <w:r w:rsidRPr="00BD7502">
        <w:rPr>
          <w:rFonts w:ascii="Times New Roman" w:eastAsia="Times New Roman" w:hAnsi="Times New Roman" w:cs="Times New Roman"/>
          <w:b/>
          <w:bCs/>
          <w:sz w:val="28"/>
          <w:szCs w:val="28"/>
          <w:lang w:val="kk-KZ" w:eastAsia="ru-RU"/>
        </w:rPr>
        <w:t>Салыстырмалы кесте</w:t>
      </w:r>
    </w:p>
    <w:p w14:paraId="6B834860" w14:textId="77777777" w:rsidR="00BD7502" w:rsidRDefault="00BD7502" w:rsidP="00485132">
      <w:pPr>
        <w:spacing w:after="0" w:line="240" w:lineRule="auto"/>
        <w:ind w:left="-142" w:firstLine="142"/>
        <w:jc w:val="center"/>
        <w:outlineLvl w:val="2"/>
        <w:rPr>
          <w:rFonts w:ascii="Times New Roman" w:eastAsia="Times New Roman" w:hAnsi="Times New Roman" w:cs="Times New Roman"/>
          <w:b/>
          <w:bCs/>
          <w:sz w:val="28"/>
          <w:szCs w:val="28"/>
          <w:lang w:eastAsia="ru-RU"/>
        </w:rPr>
      </w:pPr>
    </w:p>
    <w:p w14:paraId="129D02B2" w14:textId="77777777" w:rsidR="001907F6" w:rsidRPr="001907F6" w:rsidRDefault="001907F6" w:rsidP="00485132">
      <w:pPr>
        <w:spacing w:after="0" w:line="240" w:lineRule="auto"/>
        <w:ind w:left="-142" w:firstLine="142"/>
        <w:jc w:val="center"/>
        <w:outlineLvl w:val="2"/>
        <w:rPr>
          <w:rFonts w:ascii="Times New Roman" w:eastAsia="Times New Roman" w:hAnsi="Times New Roman" w:cs="Times New Roman"/>
          <w:b/>
          <w:bCs/>
          <w:sz w:val="28"/>
          <w:szCs w:val="28"/>
          <w:lang w:eastAsia="ru-RU"/>
        </w:rPr>
      </w:pPr>
    </w:p>
    <w:tbl>
      <w:tblPr>
        <w:tblStyle w:val="a3"/>
        <w:tblW w:w="15175" w:type="dxa"/>
        <w:tblInd w:w="-431" w:type="dxa"/>
        <w:tblLayout w:type="fixed"/>
        <w:tblLook w:val="04A0" w:firstRow="1" w:lastRow="0" w:firstColumn="1" w:lastColumn="0" w:noHBand="0" w:noVBand="1"/>
      </w:tblPr>
      <w:tblGrid>
        <w:gridCol w:w="709"/>
        <w:gridCol w:w="1390"/>
        <w:gridCol w:w="3118"/>
        <w:gridCol w:w="4820"/>
        <w:gridCol w:w="5138"/>
      </w:tblGrid>
      <w:tr w:rsidR="005F03C4" w:rsidRPr="00485132" w14:paraId="36BACFD6" w14:textId="77777777" w:rsidTr="00BD7502">
        <w:trPr>
          <w:trHeight w:val="1671"/>
        </w:trPr>
        <w:tc>
          <w:tcPr>
            <w:tcW w:w="709" w:type="dxa"/>
          </w:tcPr>
          <w:p w14:paraId="36BACFD1"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 п/п</w:t>
            </w:r>
          </w:p>
        </w:tc>
        <w:tc>
          <w:tcPr>
            <w:tcW w:w="1390" w:type="dxa"/>
            <w:vAlign w:val="center"/>
          </w:tcPr>
          <w:p w14:paraId="36BACFD2" w14:textId="74665B40" w:rsidR="00225AE3" w:rsidRPr="00E90C1A" w:rsidRDefault="00E90C1A" w:rsidP="00D36724">
            <w:pPr>
              <w:pStyle w:val="a4"/>
              <w:jc w:val="center"/>
              <w:rPr>
                <w:b/>
                <w:lang w:val="kk-KZ"/>
              </w:rPr>
            </w:pPr>
            <w:r>
              <w:rPr>
                <w:b/>
                <w:lang w:val="kk-KZ"/>
              </w:rPr>
              <w:t>Құқықтық актінің құрылымдық элементі</w:t>
            </w:r>
          </w:p>
        </w:tc>
        <w:tc>
          <w:tcPr>
            <w:tcW w:w="3118" w:type="dxa"/>
            <w:vAlign w:val="center"/>
          </w:tcPr>
          <w:p w14:paraId="36BACFD3" w14:textId="3A067DD9" w:rsidR="00225AE3" w:rsidRPr="00485132" w:rsidRDefault="00E90C1A" w:rsidP="00D36724">
            <w:pPr>
              <w:pStyle w:val="a4"/>
              <w:jc w:val="center"/>
              <w:rPr>
                <w:b/>
              </w:rPr>
            </w:pPr>
            <w:proofErr w:type="spellStart"/>
            <w:r w:rsidRPr="00E90C1A">
              <w:rPr>
                <w:b/>
              </w:rPr>
              <w:t>Қолданыстағы</w:t>
            </w:r>
            <w:proofErr w:type="spellEnd"/>
            <w:r w:rsidRPr="00E90C1A">
              <w:rPr>
                <w:b/>
              </w:rPr>
              <w:t xml:space="preserve"> редакция</w:t>
            </w:r>
          </w:p>
        </w:tc>
        <w:tc>
          <w:tcPr>
            <w:tcW w:w="4820" w:type="dxa"/>
            <w:vAlign w:val="center"/>
          </w:tcPr>
          <w:p w14:paraId="36BACFD4" w14:textId="48E1335B" w:rsidR="00225AE3" w:rsidRPr="00485132" w:rsidRDefault="00E90C1A" w:rsidP="00D36724">
            <w:pPr>
              <w:pStyle w:val="a4"/>
              <w:jc w:val="center"/>
              <w:rPr>
                <w:b/>
              </w:rPr>
            </w:pPr>
            <w:proofErr w:type="spellStart"/>
            <w:r w:rsidRPr="00E90C1A">
              <w:rPr>
                <w:b/>
              </w:rPr>
              <w:t>Ұсынылатын</w:t>
            </w:r>
            <w:proofErr w:type="spellEnd"/>
            <w:r w:rsidRPr="00E90C1A">
              <w:rPr>
                <w:b/>
              </w:rPr>
              <w:t xml:space="preserve"> редакция</w:t>
            </w:r>
          </w:p>
        </w:tc>
        <w:tc>
          <w:tcPr>
            <w:tcW w:w="5138" w:type="dxa"/>
            <w:vAlign w:val="center"/>
          </w:tcPr>
          <w:p w14:paraId="36BACFD5" w14:textId="585F2693" w:rsidR="00485132" w:rsidRPr="00485132" w:rsidRDefault="00E90C1A" w:rsidP="00BB5EB1">
            <w:pPr>
              <w:jc w:val="center"/>
              <w:rPr>
                <w:rFonts w:ascii="Times New Roman" w:hAnsi="Times New Roman" w:cs="Times New Roman"/>
                <w:sz w:val="24"/>
                <w:szCs w:val="24"/>
              </w:rPr>
            </w:pPr>
            <w:proofErr w:type="spellStart"/>
            <w:r w:rsidRPr="00E90C1A">
              <w:rPr>
                <w:rFonts w:ascii="Times New Roman" w:hAnsi="Times New Roman" w:cs="Times New Roman"/>
                <w:b/>
                <w:sz w:val="24"/>
                <w:szCs w:val="24"/>
              </w:rPr>
              <w:t>Негіздеме</w:t>
            </w:r>
            <w:proofErr w:type="spellEnd"/>
          </w:p>
        </w:tc>
      </w:tr>
      <w:tr w:rsidR="00F92588" w:rsidRPr="00485132" w14:paraId="36BACFDC" w14:textId="77777777" w:rsidTr="00BD7502">
        <w:trPr>
          <w:trHeight w:val="266"/>
        </w:trPr>
        <w:tc>
          <w:tcPr>
            <w:tcW w:w="709" w:type="dxa"/>
          </w:tcPr>
          <w:p w14:paraId="36BACFD7"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1</w:t>
            </w:r>
          </w:p>
        </w:tc>
        <w:tc>
          <w:tcPr>
            <w:tcW w:w="1390" w:type="dxa"/>
          </w:tcPr>
          <w:p w14:paraId="36BACFD8"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2</w:t>
            </w:r>
          </w:p>
        </w:tc>
        <w:tc>
          <w:tcPr>
            <w:tcW w:w="3118" w:type="dxa"/>
          </w:tcPr>
          <w:p w14:paraId="36BACFD9"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3</w:t>
            </w:r>
          </w:p>
        </w:tc>
        <w:tc>
          <w:tcPr>
            <w:tcW w:w="4820" w:type="dxa"/>
          </w:tcPr>
          <w:p w14:paraId="36BACFDA"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4</w:t>
            </w:r>
          </w:p>
        </w:tc>
        <w:tc>
          <w:tcPr>
            <w:tcW w:w="5138" w:type="dxa"/>
          </w:tcPr>
          <w:p w14:paraId="36BACFDB" w14:textId="77777777" w:rsidR="00225AE3" w:rsidRPr="00485132" w:rsidRDefault="00225AE3" w:rsidP="00D36724">
            <w:pPr>
              <w:jc w:val="center"/>
              <w:outlineLvl w:val="2"/>
              <w:rPr>
                <w:rFonts w:ascii="Times New Roman" w:eastAsia="Times New Roman" w:hAnsi="Times New Roman" w:cs="Times New Roman"/>
                <w:b/>
                <w:bCs/>
                <w:sz w:val="24"/>
                <w:szCs w:val="24"/>
                <w:lang w:eastAsia="ru-RU"/>
              </w:rPr>
            </w:pPr>
            <w:r w:rsidRPr="00485132">
              <w:rPr>
                <w:rFonts w:ascii="Times New Roman" w:eastAsia="Times New Roman" w:hAnsi="Times New Roman" w:cs="Times New Roman"/>
                <w:b/>
                <w:bCs/>
                <w:sz w:val="24"/>
                <w:szCs w:val="24"/>
                <w:lang w:eastAsia="ru-RU"/>
              </w:rPr>
              <w:t>5</w:t>
            </w:r>
          </w:p>
        </w:tc>
      </w:tr>
      <w:tr w:rsidR="000E1A12" w:rsidRPr="00AE5F7A" w14:paraId="7D218120" w14:textId="77777777" w:rsidTr="00AE5F7A">
        <w:trPr>
          <w:trHeight w:val="4887"/>
        </w:trPr>
        <w:tc>
          <w:tcPr>
            <w:tcW w:w="709" w:type="dxa"/>
          </w:tcPr>
          <w:p w14:paraId="2951BA7E" w14:textId="1BA15C6B" w:rsidR="000E1A12" w:rsidRPr="00A23CCF" w:rsidRDefault="000E1A12" w:rsidP="00D36724">
            <w:pPr>
              <w:jc w:val="center"/>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390" w:type="dxa"/>
          </w:tcPr>
          <w:p w14:paraId="3F6C45BF" w14:textId="1EEB6F9F" w:rsidR="00F7168D" w:rsidRPr="00E90C1A" w:rsidRDefault="00E90C1A" w:rsidP="00D36724">
            <w:pPr>
              <w:jc w:val="center"/>
              <w:outlineLvl w:val="2"/>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1 тармақтың 6-1</w:t>
            </w:r>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тарма</w:t>
            </w:r>
            <w:proofErr w:type="spellEnd"/>
            <w:r>
              <w:rPr>
                <w:rFonts w:ascii="Times New Roman" w:eastAsia="Times New Roman" w:hAnsi="Times New Roman" w:cs="Times New Roman"/>
                <w:bCs/>
                <w:sz w:val="24"/>
                <w:szCs w:val="24"/>
                <w:lang w:val="kk-KZ" w:eastAsia="ru-RU"/>
              </w:rPr>
              <w:t>қшасы</w:t>
            </w:r>
          </w:p>
        </w:tc>
        <w:tc>
          <w:tcPr>
            <w:tcW w:w="3118" w:type="dxa"/>
          </w:tcPr>
          <w:p w14:paraId="37BC7F49" w14:textId="357929FC" w:rsidR="000E1A12" w:rsidRPr="00606ECB" w:rsidRDefault="00606ECB" w:rsidP="00A23CCF">
            <w:pPr>
              <w:jc w:val="both"/>
              <w:outlineLvl w:val="2"/>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 xml:space="preserve">            6-1</w:t>
            </w:r>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жо</w:t>
            </w:r>
            <w:proofErr w:type="spellEnd"/>
            <w:r>
              <w:rPr>
                <w:rFonts w:ascii="Times New Roman" w:eastAsia="Times New Roman" w:hAnsi="Times New Roman" w:cs="Times New Roman"/>
                <w:b/>
                <w:bCs/>
                <w:sz w:val="24"/>
                <w:szCs w:val="24"/>
                <w:lang w:val="kk-KZ" w:eastAsia="ru-RU"/>
              </w:rPr>
              <w:t>қ</w:t>
            </w:r>
          </w:p>
        </w:tc>
        <w:tc>
          <w:tcPr>
            <w:tcW w:w="4820" w:type="dxa"/>
          </w:tcPr>
          <w:p w14:paraId="556BF79F" w14:textId="669C3E95" w:rsidR="000E1A12" w:rsidRPr="00606ECB" w:rsidRDefault="00606ECB" w:rsidP="00A23CCF">
            <w:pPr>
              <w:jc w:val="both"/>
              <w:outlineLvl w:val="2"/>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6-1) жекелеген қызмет түрлерін жүзеге асыратын салықтөлеуші ретінде тіркеуде</w:t>
            </w:r>
            <w:r w:rsidR="00AE5F7A">
              <w:rPr>
                <w:rFonts w:ascii="Times New Roman" w:eastAsia="Times New Roman" w:hAnsi="Times New Roman" w:cs="Times New Roman"/>
                <w:bCs/>
                <w:sz w:val="24"/>
                <w:szCs w:val="24"/>
                <w:lang w:val="kk-KZ" w:eastAsia="ru-RU"/>
              </w:rPr>
              <w:t>н шығару туралы шешімнің нысаны</w:t>
            </w:r>
            <w:r w:rsidRPr="00606ECB">
              <w:rPr>
                <w:rFonts w:ascii="Times New Roman" w:eastAsia="Times New Roman" w:hAnsi="Times New Roman" w:cs="Times New Roman"/>
                <w:bCs/>
                <w:sz w:val="24"/>
                <w:szCs w:val="24"/>
                <w:lang w:val="kk-KZ" w:eastAsia="ru-RU"/>
              </w:rPr>
              <w:t>;</w:t>
            </w:r>
          </w:p>
        </w:tc>
        <w:tc>
          <w:tcPr>
            <w:tcW w:w="5138" w:type="dxa"/>
            <w:vMerge w:val="restart"/>
          </w:tcPr>
          <w:p w14:paraId="14EA4058" w14:textId="7A6292D9"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Қазақстан Республикасының Салық кодексінің 105-бабы 3-тармағына сәйкестендіру мақсатында, оған сәйкес жекелеген қызмет түрлерін жүзеге асыратын салық төлеушіні салықтық тіркеуден шығару мынадай жағдайларда салық органы шешімі</w:t>
            </w:r>
            <w:r>
              <w:rPr>
                <w:rFonts w:ascii="Times New Roman" w:eastAsia="Times New Roman" w:hAnsi="Times New Roman" w:cs="Times New Roman"/>
                <w:bCs/>
                <w:sz w:val="24"/>
                <w:szCs w:val="24"/>
                <w:lang w:val="kk-KZ" w:eastAsia="ru-RU"/>
              </w:rPr>
              <w:t>нің негізінде жүзеге асырылады:</w:t>
            </w:r>
          </w:p>
          <w:p w14:paraId="79B327A4"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1) Қазақстан Республикасының Салық кодексінің 104-бабы 1-тармағының 1), 2) және 5) тармақшаларында көрсетілген қызмет түрлерін жүзеге асыратын салық төлеушінің шарттарының қолданылуын тоқтату:</w:t>
            </w:r>
          </w:p>
          <w:p w14:paraId="6904ADD8"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 өндірушінің өндірістік объектісін жалға алу;</w:t>
            </w:r>
          </w:p>
          <w:p w14:paraId="738E2DA1"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өнімдерінің базасын (резервуарын), автожанармай құю станциясын жалға алу;</w:t>
            </w:r>
          </w:p>
          <w:p w14:paraId="3079647D"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автожанармай құю станциясының иесімен жасалған тапсырма шарты, оған сәйкес автожанармай құю станциясының иесі (сенім білдірілген тұлға) тапсырма шарты бойынша өтініш берушінің (сенім білдірушінің) атынан бензинді (авиациялық бензиннен басқа) және (немесе) дизель отынын бөлшек саудада өткізуді жүзеге асырады;</w:t>
            </w:r>
          </w:p>
          <w:p w14:paraId="3C10D193"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 өндірушімен мұнай жеткізушінің мұнайды қайта өңдеу шарты;</w:t>
            </w:r>
          </w:p>
          <w:p w14:paraId="23253AAD" w14:textId="3E957353"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темекі өнімдерін көтерме өтк</w:t>
            </w:r>
            <w:r>
              <w:rPr>
                <w:rFonts w:ascii="Times New Roman" w:eastAsia="Times New Roman" w:hAnsi="Times New Roman" w:cs="Times New Roman"/>
                <w:bCs/>
                <w:sz w:val="24"/>
                <w:szCs w:val="24"/>
                <w:lang w:val="kk-KZ" w:eastAsia="ru-RU"/>
              </w:rPr>
              <w:t>ізуде қойма үй-жайын жалға алу;</w:t>
            </w:r>
          </w:p>
          <w:p w14:paraId="6648C9D9" w14:textId="77777777" w:rsidR="00606ECB" w:rsidRPr="00606ECB"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2) Қазақстан Республикасының Салық кодексінің 104-бабы 1-тармағының 4) тармақшасында көрсетілген қызмет түрін жүзеге асыратын салық төлеушінің лицензияда көрсетілген мекенжай бойынша болмауы;</w:t>
            </w:r>
          </w:p>
          <w:p w14:paraId="11748338" w14:textId="77777777" w:rsidR="00606ECB" w:rsidRPr="00606ECB" w:rsidRDefault="00606ECB" w:rsidP="00606ECB">
            <w:pPr>
              <w:jc w:val="both"/>
              <w:rPr>
                <w:rFonts w:ascii="Times New Roman" w:eastAsia="Times New Roman" w:hAnsi="Times New Roman" w:cs="Times New Roman"/>
                <w:bCs/>
                <w:sz w:val="24"/>
                <w:szCs w:val="24"/>
                <w:lang w:val="kk-KZ" w:eastAsia="ru-RU"/>
              </w:rPr>
            </w:pPr>
          </w:p>
          <w:p w14:paraId="2A078261" w14:textId="3DDAB8B6" w:rsidR="001907F6" w:rsidRPr="00F7168D" w:rsidRDefault="00606ECB" w:rsidP="00606ECB">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3) Қазақстан Республикасының Салық кодексінде белгіленген оларды ұсыну мерзімінен кейінгі күннен бастап үш айлық кезең ішінде Қазақстан Республикасының Салық кодексінің 104-бабы 1-тармағының 1), 2), 3), 5) және 7) тармақшаларында көрсетілген қызмет түрлерін жүзеге асыратын салық төлеушінің декларацияны және (немесе) акциз бойынша есепті ұсынбауы.</w:t>
            </w:r>
          </w:p>
        </w:tc>
      </w:tr>
      <w:tr w:rsidR="000E1A12" w:rsidRPr="00485132" w14:paraId="7F1CE2C2" w14:textId="77777777" w:rsidTr="00BD7502">
        <w:trPr>
          <w:trHeight w:val="6861"/>
        </w:trPr>
        <w:tc>
          <w:tcPr>
            <w:tcW w:w="709" w:type="dxa"/>
          </w:tcPr>
          <w:p w14:paraId="70847CF4" w14:textId="30E46053" w:rsidR="000E1A12" w:rsidRPr="00A23CCF" w:rsidRDefault="000E1A12" w:rsidP="00AE5F7A">
            <w:pPr>
              <w:outlineLvl w:val="2"/>
              <w:rPr>
                <w:rFonts w:ascii="Times New Roman" w:eastAsia="Times New Roman" w:hAnsi="Times New Roman" w:cs="Times New Roman"/>
                <w:bCs/>
                <w:sz w:val="24"/>
                <w:szCs w:val="24"/>
                <w:lang w:eastAsia="ru-RU"/>
              </w:rPr>
            </w:pPr>
          </w:p>
        </w:tc>
        <w:tc>
          <w:tcPr>
            <w:tcW w:w="1390" w:type="dxa"/>
          </w:tcPr>
          <w:p w14:paraId="25BA8AA3" w14:textId="53B40C21" w:rsidR="000E1A12" w:rsidRPr="00BD7502" w:rsidRDefault="000E1A12" w:rsidP="00AE5F7A">
            <w:pPr>
              <w:outlineLvl w:val="2"/>
              <w:rPr>
                <w:rFonts w:ascii="Times New Roman" w:eastAsia="Times New Roman" w:hAnsi="Times New Roman" w:cs="Times New Roman"/>
                <w:bCs/>
                <w:sz w:val="24"/>
                <w:szCs w:val="24"/>
                <w:lang w:val="kk-KZ" w:eastAsia="ru-RU"/>
              </w:rPr>
            </w:pPr>
          </w:p>
        </w:tc>
        <w:tc>
          <w:tcPr>
            <w:tcW w:w="3118" w:type="dxa"/>
          </w:tcPr>
          <w:p w14:paraId="00655B92" w14:textId="1930DD21" w:rsidR="000E1A12" w:rsidRPr="00BD7502" w:rsidRDefault="000E1A12" w:rsidP="00A23CCF">
            <w:pPr>
              <w:jc w:val="both"/>
              <w:outlineLvl w:val="2"/>
              <w:rPr>
                <w:rFonts w:ascii="Times New Roman" w:eastAsia="Times New Roman" w:hAnsi="Times New Roman" w:cs="Times New Roman"/>
                <w:b/>
                <w:bCs/>
                <w:sz w:val="24"/>
                <w:szCs w:val="24"/>
                <w:lang w:val="kk-KZ" w:eastAsia="ru-RU"/>
              </w:rPr>
            </w:pPr>
          </w:p>
        </w:tc>
        <w:tc>
          <w:tcPr>
            <w:tcW w:w="4820" w:type="dxa"/>
          </w:tcPr>
          <w:p w14:paraId="1772ACEE" w14:textId="4EBAA695" w:rsidR="000E1A12" w:rsidRDefault="000E1A12" w:rsidP="00E90C1A">
            <w:pPr>
              <w:ind w:right="-1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F7168D">
              <w:rPr>
                <w:rFonts w:ascii="Times New Roman" w:hAnsi="Times New Roman" w:cs="Times New Roman"/>
                <w:color w:val="000000"/>
                <w:sz w:val="24"/>
                <w:szCs w:val="24"/>
              </w:rPr>
              <w:t xml:space="preserve">                     </w:t>
            </w:r>
            <w:r w:rsidR="00F7168D">
              <w:rPr>
                <w:rFonts w:ascii="Times New Roman" w:hAnsi="Times New Roman" w:cs="Times New Roman"/>
                <w:color w:val="000000"/>
                <w:sz w:val="24"/>
                <w:szCs w:val="24"/>
                <w:lang w:val="kk-KZ"/>
              </w:rPr>
              <w:t xml:space="preserve">  </w:t>
            </w:r>
          </w:p>
          <w:p w14:paraId="60873535" w14:textId="77777777" w:rsidR="00BD7502" w:rsidRPr="00BD7502" w:rsidRDefault="00BD7502" w:rsidP="00BD7502">
            <w:pPr>
              <w:ind w:left="2244"/>
              <w:rPr>
                <w:rFonts w:ascii="Times New Roman" w:hAnsi="Times New Roman" w:cs="Times New Roman"/>
                <w:b/>
                <w:color w:val="000000"/>
                <w:sz w:val="24"/>
                <w:szCs w:val="24"/>
                <w:lang w:val="kk-KZ"/>
              </w:rPr>
            </w:pPr>
          </w:p>
          <w:p w14:paraId="4B76A709" w14:textId="483A3DCF" w:rsidR="000E1A12" w:rsidRPr="00A23CCF" w:rsidRDefault="000E1A12" w:rsidP="009C67B4">
            <w:pPr>
              <w:ind w:left="383" w:firstLine="142"/>
              <w:jc w:val="both"/>
              <w:outlineLvl w:val="2"/>
              <w:rPr>
                <w:rFonts w:ascii="Times New Roman" w:eastAsia="Times New Roman" w:hAnsi="Times New Roman" w:cs="Times New Roman"/>
                <w:bCs/>
                <w:sz w:val="24"/>
                <w:szCs w:val="24"/>
                <w:lang w:eastAsia="ru-RU"/>
              </w:rPr>
            </w:pPr>
          </w:p>
        </w:tc>
        <w:tc>
          <w:tcPr>
            <w:tcW w:w="5138" w:type="dxa"/>
            <w:vMerge/>
          </w:tcPr>
          <w:p w14:paraId="21F2EA8D" w14:textId="6F25B145" w:rsidR="000E1A12" w:rsidRPr="00A23CCF" w:rsidRDefault="000E1A12" w:rsidP="000E1A12">
            <w:pPr>
              <w:jc w:val="both"/>
              <w:outlineLvl w:val="2"/>
              <w:rPr>
                <w:rFonts w:ascii="Times New Roman" w:eastAsia="Times New Roman" w:hAnsi="Times New Roman" w:cs="Times New Roman"/>
                <w:bCs/>
                <w:sz w:val="24"/>
                <w:szCs w:val="24"/>
                <w:lang w:eastAsia="ru-RU"/>
              </w:rPr>
            </w:pPr>
          </w:p>
        </w:tc>
      </w:tr>
      <w:tr w:rsidR="00AE5F7A" w:rsidRPr="00AE5F7A" w14:paraId="3DE465BB" w14:textId="77777777" w:rsidTr="00BD7502">
        <w:trPr>
          <w:trHeight w:val="6861"/>
        </w:trPr>
        <w:tc>
          <w:tcPr>
            <w:tcW w:w="709" w:type="dxa"/>
          </w:tcPr>
          <w:p w14:paraId="0CB1451E" w14:textId="131B02AF" w:rsidR="00AE5F7A" w:rsidRDefault="00AE5F7A" w:rsidP="00AE5F7A">
            <w:pPr>
              <w:jc w:val="center"/>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1390" w:type="dxa"/>
          </w:tcPr>
          <w:p w14:paraId="07B53FDB" w14:textId="0E42A45B" w:rsidR="00AE5F7A" w:rsidRDefault="00AE5F7A" w:rsidP="00AE5F7A">
            <w:pPr>
              <w:jc w:val="center"/>
              <w:outlineLvl w:val="2"/>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Қосымша 1</w:t>
            </w:r>
          </w:p>
        </w:tc>
        <w:tc>
          <w:tcPr>
            <w:tcW w:w="3118" w:type="dxa"/>
          </w:tcPr>
          <w:p w14:paraId="4F5F71A0" w14:textId="2DA7F40D" w:rsidR="00AE5F7A" w:rsidRDefault="00AE5F7A" w:rsidP="00AE5F7A">
            <w:pPr>
              <w:jc w:val="both"/>
              <w:outlineLvl w:val="2"/>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 xml:space="preserve"> Жоқ</w:t>
            </w:r>
          </w:p>
        </w:tc>
        <w:tc>
          <w:tcPr>
            <w:tcW w:w="4820" w:type="dxa"/>
          </w:tcPr>
          <w:p w14:paraId="093FDCEA" w14:textId="77777777" w:rsidR="00AE5F7A" w:rsidRPr="00BD7502" w:rsidRDefault="00AE5F7A" w:rsidP="00AE5F7A">
            <w:pPr>
              <w:ind w:left="2244"/>
              <w:rPr>
                <w:rFonts w:ascii="Times New Roman" w:hAnsi="Times New Roman" w:cs="Times New Roman"/>
                <w:b/>
                <w:color w:val="000000"/>
                <w:sz w:val="24"/>
                <w:szCs w:val="24"/>
              </w:rPr>
            </w:pPr>
            <w:proofErr w:type="spellStart"/>
            <w:r w:rsidRPr="00BD7502">
              <w:rPr>
                <w:rFonts w:ascii="Times New Roman" w:hAnsi="Times New Roman" w:cs="Times New Roman"/>
                <w:b/>
                <w:color w:val="000000"/>
                <w:sz w:val="24"/>
                <w:szCs w:val="24"/>
              </w:rPr>
              <w:t>Қазақстан</w:t>
            </w:r>
            <w:proofErr w:type="spellEnd"/>
            <w:r w:rsidRPr="00BD7502">
              <w:rPr>
                <w:rFonts w:ascii="Times New Roman" w:hAnsi="Times New Roman" w:cs="Times New Roman"/>
                <w:b/>
                <w:color w:val="000000"/>
                <w:sz w:val="24"/>
                <w:szCs w:val="24"/>
              </w:rPr>
              <w:t xml:space="preserve"> </w:t>
            </w:r>
            <w:proofErr w:type="spellStart"/>
            <w:r w:rsidRPr="00BD7502">
              <w:rPr>
                <w:rFonts w:ascii="Times New Roman" w:hAnsi="Times New Roman" w:cs="Times New Roman"/>
                <w:b/>
                <w:color w:val="000000"/>
                <w:sz w:val="24"/>
                <w:szCs w:val="24"/>
              </w:rPr>
              <w:t>Республикасы</w:t>
            </w:r>
            <w:proofErr w:type="spellEnd"/>
            <w:r w:rsidRPr="00BD7502">
              <w:rPr>
                <w:rFonts w:ascii="Times New Roman" w:hAnsi="Times New Roman" w:cs="Times New Roman"/>
                <w:b/>
                <w:color w:val="000000"/>
                <w:sz w:val="24"/>
                <w:szCs w:val="24"/>
              </w:rPr>
              <w:t xml:space="preserve"> </w:t>
            </w:r>
            <w:proofErr w:type="spellStart"/>
            <w:r w:rsidRPr="00BD7502">
              <w:rPr>
                <w:rFonts w:ascii="Times New Roman" w:hAnsi="Times New Roman" w:cs="Times New Roman"/>
                <w:b/>
                <w:color w:val="000000"/>
                <w:sz w:val="24"/>
                <w:szCs w:val="24"/>
              </w:rPr>
              <w:t>Қаржы</w:t>
            </w:r>
            <w:proofErr w:type="spellEnd"/>
            <w:r w:rsidRPr="00BD7502">
              <w:rPr>
                <w:rFonts w:ascii="Times New Roman" w:hAnsi="Times New Roman" w:cs="Times New Roman"/>
                <w:b/>
                <w:color w:val="000000"/>
                <w:sz w:val="24"/>
                <w:szCs w:val="24"/>
              </w:rPr>
              <w:t xml:space="preserve"> </w:t>
            </w:r>
            <w:proofErr w:type="spellStart"/>
            <w:r w:rsidRPr="00BD7502">
              <w:rPr>
                <w:rFonts w:ascii="Times New Roman" w:hAnsi="Times New Roman" w:cs="Times New Roman"/>
                <w:b/>
                <w:color w:val="000000"/>
                <w:sz w:val="24"/>
                <w:szCs w:val="24"/>
              </w:rPr>
              <w:t>министрінің</w:t>
            </w:r>
            <w:proofErr w:type="spellEnd"/>
          </w:p>
          <w:p w14:paraId="720AA1F2" w14:textId="77777777" w:rsidR="00AE5F7A" w:rsidRPr="00BD7502" w:rsidRDefault="00AE5F7A" w:rsidP="00AE5F7A">
            <w:pPr>
              <w:ind w:left="2244"/>
              <w:rPr>
                <w:rFonts w:ascii="Times New Roman" w:hAnsi="Times New Roman" w:cs="Times New Roman"/>
                <w:b/>
                <w:color w:val="000000"/>
                <w:sz w:val="24"/>
                <w:szCs w:val="24"/>
              </w:rPr>
            </w:pPr>
            <w:r w:rsidRPr="00BD7502">
              <w:rPr>
                <w:rFonts w:ascii="Times New Roman" w:hAnsi="Times New Roman" w:cs="Times New Roman"/>
                <w:b/>
                <w:color w:val="000000"/>
                <w:sz w:val="24"/>
                <w:szCs w:val="24"/>
              </w:rPr>
              <w:t xml:space="preserve">2025 </w:t>
            </w:r>
            <w:proofErr w:type="spellStart"/>
            <w:r w:rsidRPr="00BD7502">
              <w:rPr>
                <w:rFonts w:ascii="Times New Roman" w:hAnsi="Times New Roman" w:cs="Times New Roman"/>
                <w:b/>
                <w:color w:val="000000"/>
                <w:sz w:val="24"/>
                <w:szCs w:val="24"/>
              </w:rPr>
              <w:t>жылғы</w:t>
            </w:r>
            <w:proofErr w:type="spellEnd"/>
            <w:r w:rsidRPr="00BD7502">
              <w:rPr>
                <w:rFonts w:ascii="Times New Roman" w:hAnsi="Times New Roman" w:cs="Times New Roman"/>
                <w:b/>
                <w:color w:val="000000"/>
                <w:sz w:val="24"/>
                <w:szCs w:val="24"/>
              </w:rPr>
              <w:t xml:space="preserve"> 28 </w:t>
            </w:r>
            <w:proofErr w:type="spellStart"/>
            <w:r w:rsidRPr="00BD7502">
              <w:rPr>
                <w:rFonts w:ascii="Times New Roman" w:hAnsi="Times New Roman" w:cs="Times New Roman"/>
                <w:b/>
                <w:color w:val="000000"/>
                <w:sz w:val="24"/>
                <w:szCs w:val="24"/>
              </w:rPr>
              <w:t>қазандағы</w:t>
            </w:r>
            <w:proofErr w:type="spellEnd"/>
          </w:p>
          <w:p w14:paraId="1CF3AFCF" w14:textId="77777777" w:rsidR="00AE5F7A" w:rsidRPr="00BD7502" w:rsidRDefault="00AE5F7A" w:rsidP="00AE5F7A">
            <w:pPr>
              <w:ind w:left="2244"/>
              <w:rPr>
                <w:rFonts w:ascii="Times New Roman" w:hAnsi="Times New Roman" w:cs="Times New Roman"/>
                <w:b/>
                <w:color w:val="000000"/>
                <w:sz w:val="24"/>
                <w:szCs w:val="24"/>
              </w:rPr>
            </w:pPr>
            <w:r w:rsidRPr="00BD7502">
              <w:rPr>
                <w:rFonts w:ascii="Times New Roman" w:hAnsi="Times New Roman" w:cs="Times New Roman"/>
                <w:b/>
                <w:color w:val="000000"/>
                <w:sz w:val="24"/>
                <w:szCs w:val="24"/>
              </w:rPr>
              <w:t xml:space="preserve">№ 640 </w:t>
            </w:r>
            <w:proofErr w:type="spellStart"/>
            <w:r w:rsidRPr="00BD7502">
              <w:rPr>
                <w:rFonts w:ascii="Times New Roman" w:hAnsi="Times New Roman" w:cs="Times New Roman"/>
                <w:b/>
                <w:color w:val="000000"/>
                <w:sz w:val="24"/>
                <w:szCs w:val="24"/>
              </w:rPr>
              <w:t>бұйрығына</w:t>
            </w:r>
            <w:proofErr w:type="spellEnd"/>
          </w:p>
          <w:p w14:paraId="4BAC6B72" w14:textId="77777777" w:rsidR="00AE5F7A" w:rsidRDefault="00AE5F7A" w:rsidP="00AE5F7A">
            <w:pPr>
              <w:ind w:left="2244"/>
              <w:rPr>
                <w:rFonts w:ascii="Times New Roman" w:hAnsi="Times New Roman" w:cs="Times New Roman"/>
                <w:b/>
                <w:color w:val="000000"/>
                <w:sz w:val="24"/>
                <w:szCs w:val="24"/>
              </w:rPr>
            </w:pPr>
            <w:r w:rsidRPr="00BD7502">
              <w:rPr>
                <w:rFonts w:ascii="Times New Roman" w:hAnsi="Times New Roman" w:cs="Times New Roman"/>
                <w:b/>
                <w:color w:val="000000"/>
                <w:sz w:val="24"/>
                <w:szCs w:val="24"/>
              </w:rPr>
              <w:t>6-1-қосымша</w:t>
            </w:r>
          </w:p>
          <w:p w14:paraId="30A2C6B0" w14:textId="77777777" w:rsidR="00AE5F7A" w:rsidRDefault="00AE5F7A" w:rsidP="00AE5F7A">
            <w:pPr>
              <w:ind w:left="2244"/>
              <w:rPr>
                <w:rFonts w:ascii="Times New Roman" w:hAnsi="Times New Roman" w:cs="Times New Roman"/>
                <w:b/>
                <w:color w:val="000000"/>
                <w:sz w:val="24"/>
                <w:szCs w:val="24"/>
              </w:rPr>
            </w:pPr>
          </w:p>
          <w:p w14:paraId="6FAD1258" w14:textId="77777777" w:rsidR="00AE5F7A" w:rsidRDefault="00AE5F7A" w:rsidP="00AE5F7A">
            <w:pPr>
              <w:ind w:left="2244"/>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 xml:space="preserve">     Форма</w:t>
            </w:r>
          </w:p>
          <w:p w14:paraId="5DA5B3F3" w14:textId="77777777" w:rsidR="00AE5F7A" w:rsidRPr="00BD7502" w:rsidRDefault="00AE5F7A" w:rsidP="00AE5F7A">
            <w:pPr>
              <w:ind w:left="2244"/>
              <w:rPr>
                <w:rFonts w:ascii="Times New Roman" w:hAnsi="Times New Roman" w:cs="Times New Roman"/>
                <w:b/>
                <w:color w:val="000000"/>
                <w:sz w:val="24"/>
                <w:szCs w:val="24"/>
                <w:lang w:val="kk-KZ"/>
              </w:rPr>
            </w:pPr>
          </w:p>
          <w:p w14:paraId="1B96E264" w14:textId="48D378EB" w:rsidR="00AE5F7A" w:rsidRDefault="00AE5F7A" w:rsidP="00AE5F7A">
            <w:pPr>
              <w:ind w:right="-108"/>
              <w:rPr>
                <w:rFonts w:ascii="Times New Roman" w:hAnsi="Times New Roman" w:cs="Times New Roman"/>
                <w:color w:val="000000"/>
                <w:sz w:val="24"/>
                <w:szCs w:val="24"/>
              </w:rPr>
            </w:pPr>
            <w:bookmarkStart w:id="0" w:name="_GoBack"/>
            <w:r w:rsidRPr="00EE363F">
              <w:rPr>
                <w:noProof/>
                <w:lang w:eastAsia="ru-RU"/>
              </w:rPr>
              <w:drawing>
                <wp:inline distT="0" distB="0" distL="0" distR="0" wp14:anchorId="73D2B831" wp14:editId="290293E0">
                  <wp:extent cx="2762250" cy="3400425"/>
                  <wp:effectExtent l="0" t="0" r="0" b="9525"/>
                  <wp:docPr id="1" name="Рисунок 1" descr="C:\Users\b.alaidarov\Downloads\Снимок экрана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laidarov\Downloads\Снимок экрана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6283" cy="3442321"/>
                          </a:xfrm>
                          <a:prstGeom prst="rect">
                            <a:avLst/>
                          </a:prstGeom>
                          <a:noFill/>
                          <a:ln>
                            <a:noFill/>
                          </a:ln>
                        </pic:spPr>
                      </pic:pic>
                    </a:graphicData>
                  </a:graphic>
                </wp:inline>
              </w:drawing>
            </w:r>
            <w:bookmarkEnd w:id="0"/>
          </w:p>
        </w:tc>
        <w:tc>
          <w:tcPr>
            <w:tcW w:w="5138" w:type="dxa"/>
          </w:tcPr>
          <w:p w14:paraId="168CBCAE"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Қазақстан Республикасының Салық кодексінің 105-бабы 3-тармағына сәйкестендіру мақсатында, оған сәйкес жекелеген қызмет түрлерін жүзеге асыратын салық төлеушіні салықтық тіркеуден шығару мынадай жағдайларда салық органы шешімі</w:t>
            </w:r>
            <w:r>
              <w:rPr>
                <w:rFonts w:ascii="Times New Roman" w:eastAsia="Times New Roman" w:hAnsi="Times New Roman" w:cs="Times New Roman"/>
                <w:bCs/>
                <w:sz w:val="24"/>
                <w:szCs w:val="24"/>
                <w:lang w:val="kk-KZ" w:eastAsia="ru-RU"/>
              </w:rPr>
              <w:t>нің негізінде жүзеге асырылады:</w:t>
            </w:r>
          </w:p>
          <w:p w14:paraId="302F2220"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1) Қазақстан Республикасының Салық кодексінің 104-бабы 1-тармағының 1), 2) және 5) тармақшаларында көрсетілген қызмет түрлерін жүзеге асыратын салық төлеушінің шарттарының қолданылуын тоқтату:</w:t>
            </w:r>
          </w:p>
          <w:p w14:paraId="1B3CE0F9"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 өндірушінің өндірістік объектісін жалға алу;</w:t>
            </w:r>
          </w:p>
          <w:p w14:paraId="098F5E8B"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өнімдерінің базасын (резервуарын), автожанармай құю станциясын жалға алу;</w:t>
            </w:r>
          </w:p>
          <w:p w14:paraId="5C2AA2CE"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автожанармай құю станциясының иесімен жасалған тапсырма шарты, оған сәйкес автожанармай құю станциясының иесі (сенім білдірілген тұлға) тапсырма шарты бойынша өтініш берушінің (сенім білдірушінің) атынан бензинді (авиациялық бензиннен басқа) және (немесе) дизель отынын бөлшек саудада өткізуді жүзеге асырады;</w:t>
            </w:r>
          </w:p>
          <w:p w14:paraId="6AB4AE65"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мұнай өнімдерін өндірушімен мұнай жеткізушінің мұнайды қайта өңдеу шарты;</w:t>
            </w:r>
          </w:p>
          <w:p w14:paraId="309358AC"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 xml:space="preserve">    •    темекі өнімдерін көтерме өтк</w:t>
            </w:r>
            <w:r>
              <w:rPr>
                <w:rFonts w:ascii="Times New Roman" w:eastAsia="Times New Roman" w:hAnsi="Times New Roman" w:cs="Times New Roman"/>
                <w:bCs/>
                <w:sz w:val="24"/>
                <w:szCs w:val="24"/>
                <w:lang w:val="kk-KZ" w:eastAsia="ru-RU"/>
              </w:rPr>
              <w:t>ізуде қойма үй-жайын жалға алу;</w:t>
            </w:r>
          </w:p>
          <w:p w14:paraId="1FBD7B41" w14:textId="77777777" w:rsidR="00AE5F7A" w:rsidRPr="00606ECB" w:rsidRDefault="00AE5F7A" w:rsidP="00AE5F7A">
            <w:pPr>
              <w:jc w:val="both"/>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2) Қазақстан Республикасының Салық кодексінің 104-бабы 1-тармағының 4) тармақшасында көрсетілген қызмет түрін жүзеге асыратын салық төлеушінің лицензияда көрсетілген мекенжай бойынша болмауы;</w:t>
            </w:r>
          </w:p>
          <w:p w14:paraId="432E2C01" w14:textId="77777777" w:rsidR="00AE5F7A" w:rsidRPr="00606ECB" w:rsidRDefault="00AE5F7A" w:rsidP="00AE5F7A">
            <w:pPr>
              <w:jc w:val="both"/>
              <w:rPr>
                <w:rFonts w:ascii="Times New Roman" w:eastAsia="Times New Roman" w:hAnsi="Times New Roman" w:cs="Times New Roman"/>
                <w:bCs/>
                <w:sz w:val="24"/>
                <w:szCs w:val="24"/>
                <w:lang w:val="kk-KZ" w:eastAsia="ru-RU"/>
              </w:rPr>
            </w:pPr>
          </w:p>
          <w:p w14:paraId="0677D2F3" w14:textId="5D5AEF77" w:rsidR="00AE5F7A" w:rsidRPr="00AE5F7A" w:rsidRDefault="00AE5F7A" w:rsidP="00AE5F7A">
            <w:pPr>
              <w:jc w:val="both"/>
              <w:outlineLvl w:val="2"/>
              <w:rPr>
                <w:rFonts w:ascii="Times New Roman" w:eastAsia="Times New Roman" w:hAnsi="Times New Roman" w:cs="Times New Roman"/>
                <w:bCs/>
                <w:sz w:val="24"/>
                <w:szCs w:val="24"/>
                <w:lang w:val="kk-KZ" w:eastAsia="ru-RU"/>
              </w:rPr>
            </w:pPr>
            <w:r w:rsidRPr="00606ECB">
              <w:rPr>
                <w:rFonts w:ascii="Times New Roman" w:eastAsia="Times New Roman" w:hAnsi="Times New Roman" w:cs="Times New Roman"/>
                <w:bCs/>
                <w:sz w:val="24"/>
                <w:szCs w:val="24"/>
                <w:lang w:val="kk-KZ" w:eastAsia="ru-RU"/>
              </w:rPr>
              <w:t>3) Қазақстан Республикасының Салық кодексінде белгіленген оларды ұсыну мерзімінен кейінгі күннен бастап үш айлық кезең ішінде Қазақстан Республикасының Салық кодексінің 104-бабы 1-тармағының 1), 2), 3), 5) және 7) тармақшаларында көрсетілген қызмет түрлерін жүзеге асыратын салық төлеушінің декларацияны және (немесе) акциз бойынша есепті ұсынбауы.</w:t>
            </w:r>
          </w:p>
        </w:tc>
      </w:tr>
    </w:tbl>
    <w:p w14:paraId="36BAD0A6" w14:textId="2B61F27C" w:rsidR="0008319D" w:rsidRPr="00AE5F7A" w:rsidRDefault="0008319D" w:rsidP="00485132">
      <w:pPr>
        <w:spacing w:after="0" w:line="240" w:lineRule="auto"/>
        <w:jc w:val="both"/>
        <w:rPr>
          <w:rFonts w:ascii="Times New Roman" w:hAnsi="Times New Roman" w:cs="Times New Roman"/>
          <w:sz w:val="24"/>
          <w:szCs w:val="24"/>
          <w:lang w:val="kk-KZ"/>
        </w:rPr>
      </w:pPr>
    </w:p>
    <w:sectPr w:rsidR="0008319D" w:rsidRPr="00AE5F7A" w:rsidSect="009A5412">
      <w:headerReference w:type="default" r:id="rId9"/>
      <w:pgSz w:w="16838" w:h="11906" w:orient="landscape"/>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20.01.2026 19:42 Мекебаев Аблай Келдикеевич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18:40 Адилгалиев Бектас Жасуланович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80F92" w14:textId="77777777" w:rsidR="002C4171" w:rsidRDefault="002C4171" w:rsidP="004509A0">
      <w:pPr>
        <w:spacing w:after="0" w:line="240" w:lineRule="auto"/>
      </w:pPr>
      <w:r>
        <w:separator/>
      </w:r>
    </w:p>
  </w:endnote>
  <w:endnote w:type="continuationSeparator" w:id="0">
    <w:p w14:paraId="07C8F116" w14:textId="77777777" w:rsidR="002C4171" w:rsidRDefault="002C4171" w:rsidP="004509A0">
      <w:pPr>
        <w:spacing w:after="0" w:line="240" w:lineRule="auto"/>
      </w:pPr>
      <w:r>
        <w:continuationSeparator/>
      </w:r>
    </w:p>
  </w:endnote>
  <w:endnote w:type="continuationNotice" w:id="1">
    <w:p w14:paraId="16410058" w14:textId="77777777" w:rsidR="002C4171" w:rsidRDefault="002C41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09:31.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09:31.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096CD" w14:textId="77777777" w:rsidR="002C4171" w:rsidRDefault="002C4171" w:rsidP="004509A0">
      <w:pPr>
        <w:spacing w:after="0" w:line="240" w:lineRule="auto"/>
      </w:pPr>
      <w:r>
        <w:separator/>
      </w:r>
    </w:p>
  </w:footnote>
  <w:footnote w:type="continuationSeparator" w:id="0">
    <w:p w14:paraId="1E8EB783" w14:textId="77777777" w:rsidR="002C4171" w:rsidRDefault="002C4171" w:rsidP="004509A0">
      <w:pPr>
        <w:spacing w:after="0" w:line="240" w:lineRule="auto"/>
      </w:pPr>
      <w:r>
        <w:continuationSeparator/>
      </w:r>
    </w:p>
  </w:footnote>
  <w:footnote w:type="continuationNotice" w:id="1">
    <w:p w14:paraId="276C9B27" w14:textId="77777777" w:rsidR="002C4171" w:rsidRDefault="002C4171">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A60A" w14:textId="3322C17E" w:rsidR="002C4171" w:rsidRPr="004509A0" w:rsidRDefault="002C4171">
    <w:pPr>
      <w:pStyle w:val="ad"/>
      <w:jc w:val="center"/>
      <w:rPr>
        <w:rFonts w:ascii="Times New Roman" w:hAnsi="Times New Roman" w:cs="Times New Roman"/>
        <w:sz w:val="28"/>
        <w:szCs w:val="28"/>
      </w:rPr>
    </w:pPr>
  </w:p>
  <w:p w14:paraId="470E2C4F" w14:textId="77777777" w:rsidR="002C4171" w:rsidRDefault="002C4171">
    <w:pPr>
      <w:pStyle w:val="ad"/>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C4167"/>
    <w:multiLevelType w:val="hybridMultilevel"/>
    <w:tmpl w:val="372C1C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8F7C1D"/>
    <w:multiLevelType w:val="hybridMultilevel"/>
    <w:tmpl w:val="615EE79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73536F9"/>
    <w:multiLevelType w:val="hybridMultilevel"/>
    <w:tmpl w:val="5C42A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CE2"/>
    <w:rsid w:val="00002429"/>
    <w:rsid w:val="0000539E"/>
    <w:rsid w:val="0001388C"/>
    <w:rsid w:val="00020209"/>
    <w:rsid w:val="00020594"/>
    <w:rsid w:val="00020C6E"/>
    <w:rsid w:val="00021772"/>
    <w:rsid w:val="000316B8"/>
    <w:rsid w:val="00037D1A"/>
    <w:rsid w:val="00044494"/>
    <w:rsid w:val="00047C45"/>
    <w:rsid w:val="000512B8"/>
    <w:rsid w:val="00055CCF"/>
    <w:rsid w:val="00063DF8"/>
    <w:rsid w:val="0007031A"/>
    <w:rsid w:val="00070940"/>
    <w:rsid w:val="00072174"/>
    <w:rsid w:val="00074CE0"/>
    <w:rsid w:val="0007514E"/>
    <w:rsid w:val="000821B3"/>
    <w:rsid w:val="00082AB6"/>
    <w:rsid w:val="0008319D"/>
    <w:rsid w:val="0009370C"/>
    <w:rsid w:val="000A56CE"/>
    <w:rsid w:val="000A586F"/>
    <w:rsid w:val="000C4AD0"/>
    <w:rsid w:val="000D106F"/>
    <w:rsid w:val="000D47DA"/>
    <w:rsid w:val="000E0EE8"/>
    <w:rsid w:val="000E1268"/>
    <w:rsid w:val="000E1A12"/>
    <w:rsid w:val="000E5D88"/>
    <w:rsid w:val="000E6490"/>
    <w:rsid w:val="000F14E4"/>
    <w:rsid w:val="000F1706"/>
    <w:rsid w:val="000F184C"/>
    <w:rsid w:val="000F2033"/>
    <w:rsid w:val="0010205F"/>
    <w:rsid w:val="0010523C"/>
    <w:rsid w:val="00105794"/>
    <w:rsid w:val="00111177"/>
    <w:rsid w:val="001160E9"/>
    <w:rsid w:val="00116603"/>
    <w:rsid w:val="00116CC7"/>
    <w:rsid w:val="00120A73"/>
    <w:rsid w:val="00120F79"/>
    <w:rsid w:val="001245FC"/>
    <w:rsid w:val="00127BDD"/>
    <w:rsid w:val="00133AC1"/>
    <w:rsid w:val="00134297"/>
    <w:rsid w:val="00142A3B"/>
    <w:rsid w:val="00146190"/>
    <w:rsid w:val="001741A7"/>
    <w:rsid w:val="00174875"/>
    <w:rsid w:val="00186E44"/>
    <w:rsid w:val="00187586"/>
    <w:rsid w:val="001907F6"/>
    <w:rsid w:val="00193B71"/>
    <w:rsid w:val="001A1579"/>
    <w:rsid w:val="001A5083"/>
    <w:rsid w:val="001A6DDE"/>
    <w:rsid w:val="001A76B4"/>
    <w:rsid w:val="001C014E"/>
    <w:rsid w:val="001C04D1"/>
    <w:rsid w:val="001C3526"/>
    <w:rsid w:val="001D02AF"/>
    <w:rsid w:val="001D4FC9"/>
    <w:rsid w:val="001D6993"/>
    <w:rsid w:val="001E07DC"/>
    <w:rsid w:val="002029F0"/>
    <w:rsid w:val="00204E5B"/>
    <w:rsid w:val="00212360"/>
    <w:rsid w:val="0021341C"/>
    <w:rsid w:val="00216779"/>
    <w:rsid w:val="00225AE3"/>
    <w:rsid w:val="00226AA7"/>
    <w:rsid w:val="002300A0"/>
    <w:rsid w:val="002361F9"/>
    <w:rsid w:val="0023795E"/>
    <w:rsid w:val="00240D10"/>
    <w:rsid w:val="00251755"/>
    <w:rsid w:val="0027609B"/>
    <w:rsid w:val="00287823"/>
    <w:rsid w:val="00290525"/>
    <w:rsid w:val="00296FD7"/>
    <w:rsid w:val="002A1E19"/>
    <w:rsid w:val="002A2270"/>
    <w:rsid w:val="002B583E"/>
    <w:rsid w:val="002B7CE2"/>
    <w:rsid w:val="002C4171"/>
    <w:rsid w:val="002C4409"/>
    <w:rsid w:val="002C5C68"/>
    <w:rsid w:val="002D2C12"/>
    <w:rsid w:val="002D5C0D"/>
    <w:rsid w:val="002D7F60"/>
    <w:rsid w:val="00300296"/>
    <w:rsid w:val="00301441"/>
    <w:rsid w:val="00302833"/>
    <w:rsid w:val="00306810"/>
    <w:rsid w:val="00307592"/>
    <w:rsid w:val="00310574"/>
    <w:rsid w:val="003126B3"/>
    <w:rsid w:val="003233D2"/>
    <w:rsid w:val="003271B3"/>
    <w:rsid w:val="0033055F"/>
    <w:rsid w:val="00334969"/>
    <w:rsid w:val="003511E6"/>
    <w:rsid w:val="00354287"/>
    <w:rsid w:val="0035578B"/>
    <w:rsid w:val="003633D9"/>
    <w:rsid w:val="003800C1"/>
    <w:rsid w:val="003823A9"/>
    <w:rsid w:val="00393E9D"/>
    <w:rsid w:val="003952A3"/>
    <w:rsid w:val="00397900"/>
    <w:rsid w:val="003A2401"/>
    <w:rsid w:val="003A2DAB"/>
    <w:rsid w:val="003B4726"/>
    <w:rsid w:val="003C3583"/>
    <w:rsid w:val="003C46BF"/>
    <w:rsid w:val="003D02FA"/>
    <w:rsid w:val="003D3A3F"/>
    <w:rsid w:val="003D431F"/>
    <w:rsid w:val="003F5D60"/>
    <w:rsid w:val="004006F4"/>
    <w:rsid w:val="00410857"/>
    <w:rsid w:val="0042408C"/>
    <w:rsid w:val="0042463E"/>
    <w:rsid w:val="00427739"/>
    <w:rsid w:val="0043300B"/>
    <w:rsid w:val="004372B9"/>
    <w:rsid w:val="004509A0"/>
    <w:rsid w:val="004533FB"/>
    <w:rsid w:val="004544A3"/>
    <w:rsid w:val="00455D17"/>
    <w:rsid w:val="00461F95"/>
    <w:rsid w:val="00463E0D"/>
    <w:rsid w:val="004718C9"/>
    <w:rsid w:val="004730CD"/>
    <w:rsid w:val="004730F7"/>
    <w:rsid w:val="00473B46"/>
    <w:rsid w:val="00474E79"/>
    <w:rsid w:val="00485132"/>
    <w:rsid w:val="004905F6"/>
    <w:rsid w:val="004A0F10"/>
    <w:rsid w:val="004A17D1"/>
    <w:rsid w:val="004B4478"/>
    <w:rsid w:val="004E0C18"/>
    <w:rsid w:val="004E1439"/>
    <w:rsid w:val="004E786D"/>
    <w:rsid w:val="00502112"/>
    <w:rsid w:val="005245E0"/>
    <w:rsid w:val="00531041"/>
    <w:rsid w:val="0053498A"/>
    <w:rsid w:val="005405C2"/>
    <w:rsid w:val="00551F7D"/>
    <w:rsid w:val="00562F13"/>
    <w:rsid w:val="0057593E"/>
    <w:rsid w:val="005800BF"/>
    <w:rsid w:val="005A34E0"/>
    <w:rsid w:val="005B4C5D"/>
    <w:rsid w:val="005B7E33"/>
    <w:rsid w:val="005C7290"/>
    <w:rsid w:val="005D21D0"/>
    <w:rsid w:val="005F0210"/>
    <w:rsid w:val="005F03C4"/>
    <w:rsid w:val="005F0B72"/>
    <w:rsid w:val="005F393E"/>
    <w:rsid w:val="00600A21"/>
    <w:rsid w:val="00601774"/>
    <w:rsid w:val="00606ECB"/>
    <w:rsid w:val="006115BA"/>
    <w:rsid w:val="00613E99"/>
    <w:rsid w:val="00614F71"/>
    <w:rsid w:val="00615DE2"/>
    <w:rsid w:val="0063276A"/>
    <w:rsid w:val="006375CA"/>
    <w:rsid w:val="00643A49"/>
    <w:rsid w:val="0065198B"/>
    <w:rsid w:val="006531E7"/>
    <w:rsid w:val="00671682"/>
    <w:rsid w:val="0068524C"/>
    <w:rsid w:val="0068771E"/>
    <w:rsid w:val="00692D79"/>
    <w:rsid w:val="00694883"/>
    <w:rsid w:val="006958AE"/>
    <w:rsid w:val="006A4588"/>
    <w:rsid w:val="006C2244"/>
    <w:rsid w:val="006C68B7"/>
    <w:rsid w:val="006D54DF"/>
    <w:rsid w:val="006E2810"/>
    <w:rsid w:val="006E66DF"/>
    <w:rsid w:val="006F7EF9"/>
    <w:rsid w:val="00702719"/>
    <w:rsid w:val="0070391A"/>
    <w:rsid w:val="00713137"/>
    <w:rsid w:val="00714165"/>
    <w:rsid w:val="007178A9"/>
    <w:rsid w:val="007218AE"/>
    <w:rsid w:val="00722217"/>
    <w:rsid w:val="00723DCF"/>
    <w:rsid w:val="00725AF9"/>
    <w:rsid w:val="007373E2"/>
    <w:rsid w:val="00741EAC"/>
    <w:rsid w:val="00761B88"/>
    <w:rsid w:val="00765537"/>
    <w:rsid w:val="00767A47"/>
    <w:rsid w:val="00767E12"/>
    <w:rsid w:val="00770D77"/>
    <w:rsid w:val="00771C25"/>
    <w:rsid w:val="00775AC4"/>
    <w:rsid w:val="00790BC2"/>
    <w:rsid w:val="00792E56"/>
    <w:rsid w:val="007945D6"/>
    <w:rsid w:val="00796314"/>
    <w:rsid w:val="007A0F29"/>
    <w:rsid w:val="007A4808"/>
    <w:rsid w:val="007B554A"/>
    <w:rsid w:val="007C3A64"/>
    <w:rsid w:val="007C57C4"/>
    <w:rsid w:val="007E0F8C"/>
    <w:rsid w:val="007E1D69"/>
    <w:rsid w:val="007E72A8"/>
    <w:rsid w:val="00804BD9"/>
    <w:rsid w:val="00812B1F"/>
    <w:rsid w:val="00815D5C"/>
    <w:rsid w:val="008162D8"/>
    <w:rsid w:val="0081717B"/>
    <w:rsid w:val="00821A09"/>
    <w:rsid w:val="00833358"/>
    <w:rsid w:val="00840549"/>
    <w:rsid w:val="0084456C"/>
    <w:rsid w:val="008547D4"/>
    <w:rsid w:val="008663D4"/>
    <w:rsid w:val="008737F1"/>
    <w:rsid w:val="008A76A2"/>
    <w:rsid w:val="008D1CEE"/>
    <w:rsid w:val="008D2C7D"/>
    <w:rsid w:val="008E11B6"/>
    <w:rsid w:val="008E2A6B"/>
    <w:rsid w:val="008E7A8A"/>
    <w:rsid w:val="009030CC"/>
    <w:rsid w:val="00922656"/>
    <w:rsid w:val="00932739"/>
    <w:rsid w:val="00951AEB"/>
    <w:rsid w:val="00951D73"/>
    <w:rsid w:val="00966A70"/>
    <w:rsid w:val="00970AC3"/>
    <w:rsid w:val="009713BF"/>
    <w:rsid w:val="0097470C"/>
    <w:rsid w:val="00976761"/>
    <w:rsid w:val="00980F1E"/>
    <w:rsid w:val="00986680"/>
    <w:rsid w:val="00992B23"/>
    <w:rsid w:val="009947D3"/>
    <w:rsid w:val="00996015"/>
    <w:rsid w:val="00996677"/>
    <w:rsid w:val="009A053F"/>
    <w:rsid w:val="009A14CA"/>
    <w:rsid w:val="009A5412"/>
    <w:rsid w:val="009A6A18"/>
    <w:rsid w:val="009B6A72"/>
    <w:rsid w:val="009C03F1"/>
    <w:rsid w:val="009C1B2A"/>
    <w:rsid w:val="009C2A37"/>
    <w:rsid w:val="009C5C70"/>
    <w:rsid w:val="009C67B4"/>
    <w:rsid w:val="009D06E7"/>
    <w:rsid w:val="009D654F"/>
    <w:rsid w:val="009E2187"/>
    <w:rsid w:val="009E47DD"/>
    <w:rsid w:val="009F04D1"/>
    <w:rsid w:val="00A046B5"/>
    <w:rsid w:val="00A054F0"/>
    <w:rsid w:val="00A07920"/>
    <w:rsid w:val="00A134AB"/>
    <w:rsid w:val="00A1493D"/>
    <w:rsid w:val="00A16ECC"/>
    <w:rsid w:val="00A22030"/>
    <w:rsid w:val="00A23829"/>
    <w:rsid w:val="00A23CCF"/>
    <w:rsid w:val="00A366C3"/>
    <w:rsid w:val="00A50596"/>
    <w:rsid w:val="00A73048"/>
    <w:rsid w:val="00A7442D"/>
    <w:rsid w:val="00A92CE5"/>
    <w:rsid w:val="00A93485"/>
    <w:rsid w:val="00AA604E"/>
    <w:rsid w:val="00AB03F3"/>
    <w:rsid w:val="00AB17CA"/>
    <w:rsid w:val="00AB7E33"/>
    <w:rsid w:val="00AC68EA"/>
    <w:rsid w:val="00AE1533"/>
    <w:rsid w:val="00AE5F7A"/>
    <w:rsid w:val="00AE7FE8"/>
    <w:rsid w:val="00AF61E3"/>
    <w:rsid w:val="00AF62AA"/>
    <w:rsid w:val="00B0265D"/>
    <w:rsid w:val="00B0596E"/>
    <w:rsid w:val="00B065E1"/>
    <w:rsid w:val="00B12B0F"/>
    <w:rsid w:val="00B206D3"/>
    <w:rsid w:val="00B214CF"/>
    <w:rsid w:val="00B21929"/>
    <w:rsid w:val="00B22597"/>
    <w:rsid w:val="00B22639"/>
    <w:rsid w:val="00B30387"/>
    <w:rsid w:val="00B30BCD"/>
    <w:rsid w:val="00B37018"/>
    <w:rsid w:val="00B46518"/>
    <w:rsid w:val="00B47694"/>
    <w:rsid w:val="00B5237D"/>
    <w:rsid w:val="00B53385"/>
    <w:rsid w:val="00B546CE"/>
    <w:rsid w:val="00B55BF4"/>
    <w:rsid w:val="00B65EF2"/>
    <w:rsid w:val="00B84130"/>
    <w:rsid w:val="00B968A7"/>
    <w:rsid w:val="00BA066B"/>
    <w:rsid w:val="00BA6A81"/>
    <w:rsid w:val="00BB5EB1"/>
    <w:rsid w:val="00BC37DD"/>
    <w:rsid w:val="00BC3BF9"/>
    <w:rsid w:val="00BC68ED"/>
    <w:rsid w:val="00BD363D"/>
    <w:rsid w:val="00BD5651"/>
    <w:rsid w:val="00BD6498"/>
    <w:rsid w:val="00BD7502"/>
    <w:rsid w:val="00BE0480"/>
    <w:rsid w:val="00BE28B0"/>
    <w:rsid w:val="00BF62FA"/>
    <w:rsid w:val="00BF6ECC"/>
    <w:rsid w:val="00BF7D77"/>
    <w:rsid w:val="00C115BB"/>
    <w:rsid w:val="00C1795B"/>
    <w:rsid w:val="00C230E1"/>
    <w:rsid w:val="00C27180"/>
    <w:rsid w:val="00C36974"/>
    <w:rsid w:val="00C466C9"/>
    <w:rsid w:val="00C51F60"/>
    <w:rsid w:val="00C62874"/>
    <w:rsid w:val="00C62C31"/>
    <w:rsid w:val="00C703BC"/>
    <w:rsid w:val="00C709AA"/>
    <w:rsid w:val="00C71316"/>
    <w:rsid w:val="00C72D73"/>
    <w:rsid w:val="00C74E6C"/>
    <w:rsid w:val="00C76218"/>
    <w:rsid w:val="00C84081"/>
    <w:rsid w:val="00C85137"/>
    <w:rsid w:val="00C95838"/>
    <w:rsid w:val="00C96158"/>
    <w:rsid w:val="00CB4F26"/>
    <w:rsid w:val="00CB527F"/>
    <w:rsid w:val="00CB71F8"/>
    <w:rsid w:val="00CE6E6E"/>
    <w:rsid w:val="00CE7A43"/>
    <w:rsid w:val="00CF28D8"/>
    <w:rsid w:val="00D045BC"/>
    <w:rsid w:val="00D1687C"/>
    <w:rsid w:val="00D201E9"/>
    <w:rsid w:val="00D21983"/>
    <w:rsid w:val="00D22705"/>
    <w:rsid w:val="00D27F60"/>
    <w:rsid w:val="00D32412"/>
    <w:rsid w:val="00D36724"/>
    <w:rsid w:val="00D400BE"/>
    <w:rsid w:val="00D438E7"/>
    <w:rsid w:val="00D44C15"/>
    <w:rsid w:val="00D51531"/>
    <w:rsid w:val="00D51B56"/>
    <w:rsid w:val="00D60861"/>
    <w:rsid w:val="00D60B15"/>
    <w:rsid w:val="00D60D1B"/>
    <w:rsid w:val="00D637B4"/>
    <w:rsid w:val="00D66905"/>
    <w:rsid w:val="00D70F2D"/>
    <w:rsid w:val="00D842B3"/>
    <w:rsid w:val="00D852C9"/>
    <w:rsid w:val="00D93D9E"/>
    <w:rsid w:val="00DA2236"/>
    <w:rsid w:val="00DB3CBC"/>
    <w:rsid w:val="00DB3D9B"/>
    <w:rsid w:val="00DC4232"/>
    <w:rsid w:val="00DD38FD"/>
    <w:rsid w:val="00DD59E1"/>
    <w:rsid w:val="00DE3C27"/>
    <w:rsid w:val="00DF0BA2"/>
    <w:rsid w:val="00DF4DF2"/>
    <w:rsid w:val="00DF73A9"/>
    <w:rsid w:val="00E03D70"/>
    <w:rsid w:val="00E12169"/>
    <w:rsid w:val="00E16F8A"/>
    <w:rsid w:val="00E17221"/>
    <w:rsid w:val="00E2716A"/>
    <w:rsid w:val="00E272AA"/>
    <w:rsid w:val="00E33C15"/>
    <w:rsid w:val="00E4061E"/>
    <w:rsid w:val="00E40E24"/>
    <w:rsid w:val="00E44690"/>
    <w:rsid w:val="00E516D7"/>
    <w:rsid w:val="00E53D1F"/>
    <w:rsid w:val="00E61DB2"/>
    <w:rsid w:val="00E67576"/>
    <w:rsid w:val="00E70E93"/>
    <w:rsid w:val="00E800BB"/>
    <w:rsid w:val="00E8126A"/>
    <w:rsid w:val="00E860D9"/>
    <w:rsid w:val="00E90C1A"/>
    <w:rsid w:val="00E97A89"/>
    <w:rsid w:val="00EB1921"/>
    <w:rsid w:val="00EC1DAC"/>
    <w:rsid w:val="00EE1AE5"/>
    <w:rsid w:val="00EF0451"/>
    <w:rsid w:val="00EF4DDF"/>
    <w:rsid w:val="00EF5E47"/>
    <w:rsid w:val="00F0724A"/>
    <w:rsid w:val="00F11DB0"/>
    <w:rsid w:val="00F13041"/>
    <w:rsid w:val="00F13DD5"/>
    <w:rsid w:val="00F21B54"/>
    <w:rsid w:val="00F36E69"/>
    <w:rsid w:val="00F467C1"/>
    <w:rsid w:val="00F7168D"/>
    <w:rsid w:val="00F77DD1"/>
    <w:rsid w:val="00F84077"/>
    <w:rsid w:val="00F92588"/>
    <w:rsid w:val="00FA1478"/>
    <w:rsid w:val="00FD66A9"/>
    <w:rsid w:val="00FE3A0C"/>
    <w:rsid w:val="00FE5484"/>
    <w:rsid w:val="00FE575E"/>
    <w:rsid w:val="00FF1333"/>
    <w:rsid w:val="00FF30A0"/>
    <w:rsid w:val="00FF3124"/>
    <w:rsid w:val="00FF3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CFCF"/>
  <w15:docId w15:val="{DE6FA05C-2C45-427C-AACC-E37CC7D648F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5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225A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25AE3"/>
    <w:pPr>
      <w:ind w:left="720"/>
      <w:contextualSpacing/>
    </w:pPr>
  </w:style>
  <w:style w:type="character" w:customStyle="1" w:styleId="s2">
    <w:name w:val="s2"/>
    <w:rsid w:val="00225AE3"/>
    <w:rPr>
      <w:rFonts w:ascii="Times New Roman" w:hAnsi="Times New Roman" w:cs="Times New Roman" w:hint="default"/>
      <w:color w:val="333399"/>
      <w:u w:val="single"/>
    </w:rPr>
  </w:style>
  <w:style w:type="paragraph" w:customStyle="1" w:styleId="pr">
    <w:name w:val="pr"/>
    <w:basedOn w:val="a"/>
    <w:rsid w:val="00225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A7442D"/>
    <w:rPr>
      <w:sz w:val="16"/>
      <w:szCs w:val="16"/>
    </w:rPr>
  </w:style>
  <w:style w:type="paragraph" w:styleId="a7">
    <w:name w:val="annotation text"/>
    <w:basedOn w:val="a"/>
    <w:link w:val="a8"/>
    <w:uiPriority w:val="99"/>
    <w:semiHidden/>
    <w:unhideWhenUsed/>
    <w:rsid w:val="00A7442D"/>
    <w:pPr>
      <w:spacing w:line="240" w:lineRule="auto"/>
    </w:pPr>
    <w:rPr>
      <w:sz w:val="20"/>
      <w:szCs w:val="20"/>
    </w:rPr>
  </w:style>
  <w:style w:type="character" w:customStyle="1" w:styleId="a8">
    <w:name w:val="Текст примечания Знак"/>
    <w:basedOn w:val="a0"/>
    <w:link w:val="a7"/>
    <w:uiPriority w:val="99"/>
    <w:semiHidden/>
    <w:rsid w:val="00A7442D"/>
    <w:rPr>
      <w:sz w:val="20"/>
      <w:szCs w:val="20"/>
    </w:rPr>
  </w:style>
  <w:style w:type="paragraph" w:styleId="a9">
    <w:name w:val="annotation subject"/>
    <w:basedOn w:val="a7"/>
    <w:next w:val="a7"/>
    <w:link w:val="aa"/>
    <w:uiPriority w:val="99"/>
    <w:semiHidden/>
    <w:unhideWhenUsed/>
    <w:rsid w:val="00A7442D"/>
    <w:rPr>
      <w:b/>
      <w:bCs/>
    </w:rPr>
  </w:style>
  <w:style w:type="character" w:customStyle="1" w:styleId="aa">
    <w:name w:val="Тема примечания Знак"/>
    <w:basedOn w:val="a8"/>
    <w:link w:val="a9"/>
    <w:uiPriority w:val="99"/>
    <w:semiHidden/>
    <w:rsid w:val="00A7442D"/>
    <w:rPr>
      <w:b/>
      <w:bCs/>
      <w:sz w:val="20"/>
      <w:szCs w:val="20"/>
    </w:rPr>
  </w:style>
  <w:style w:type="paragraph" w:styleId="ab">
    <w:name w:val="Balloon Text"/>
    <w:basedOn w:val="a"/>
    <w:link w:val="ac"/>
    <w:uiPriority w:val="99"/>
    <w:semiHidden/>
    <w:unhideWhenUsed/>
    <w:rsid w:val="00A7442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7442D"/>
    <w:rPr>
      <w:rFonts w:ascii="Segoe UI" w:hAnsi="Segoe UI" w:cs="Segoe UI"/>
      <w:sz w:val="18"/>
      <w:szCs w:val="18"/>
    </w:rPr>
  </w:style>
  <w:style w:type="paragraph" w:styleId="ad">
    <w:name w:val="header"/>
    <w:basedOn w:val="a"/>
    <w:link w:val="ae"/>
    <w:uiPriority w:val="99"/>
    <w:unhideWhenUsed/>
    <w:rsid w:val="004509A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509A0"/>
  </w:style>
  <w:style w:type="paragraph" w:styleId="af">
    <w:name w:val="footer"/>
    <w:basedOn w:val="a"/>
    <w:link w:val="af0"/>
    <w:uiPriority w:val="99"/>
    <w:unhideWhenUsed/>
    <w:rsid w:val="004509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509A0"/>
  </w:style>
  <w:style w:type="paragraph" w:styleId="af1">
    <w:name w:val="No Spacing"/>
    <w:uiPriority w:val="1"/>
    <w:qFormat/>
    <w:rsid w:val="00B22597"/>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5857">
      <w:bodyDiv w:val="1"/>
      <w:marLeft w:val="0"/>
      <w:marRight w:val="0"/>
      <w:marTop w:val="0"/>
      <w:marBottom w:val="0"/>
      <w:divBdr>
        <w:top w:val="none" w:sz="0" w:space="0" w:color="auto"/>
        <w:left w:val="none" w:sz="0" w:space="0" w:color="auto"/>
        <w:bottom w:val="none" w:sz="0" w:space="0" w:color="auto"/>
        <w:right w:val="none" w:sz="0" w:space="0" w:color="auto"/>
      </w:divBdr>
    </w:div>
    <w:div w:id="1140730816">
      <w:bodyDiv w:val="1"/>
      <w:marLeft w:val="0"/>
      <w:marRight w:val="0"/>
      <w:marTop w:val="0"/>
      <w:marBottom w:val="0"/>
      <w:divBdr>
        <w:top w:val="none" w:sz="0" w:space="0" w:color="auto"/>
        <w:left w:val="none" w:sz="0" w:space="0" w:color="auto"/>
        <w:bottom w:val="none" w:sz="0" w:space="0" w:color="auto"/>
        <w:right w:val="none" w:sz="0" w:space="0" w:color="auto"/>
      </w:divBdr>
    </w:div>
    <w:div w:id="1230193637">
      <w:bodyDiv w:val="1"/>
      <w:marLeft w:val="0"/>
      <w:marRight w:val="0"/>
      <w:marTop w:val="0"/>
      <w:marBottom w:val="0"/>
      <w:divBdr>
        <w:top w:val="none" w:sz="0" w:space="0" w:color="auto"/>
        <w:left w:val="none" w:sz="0" w:space="0" w:color="auto"/>
        <w:bottom w:val="none" w:sz="0" w:space="0" w:color="auto"/>
        <w:right w:val="none" w:sz="0" w:space="0" w:color="auto"/>
      </w:divBdr>
    </w:div>
    <w:div w:id="1233126210">
      <w:bodyDiv w:val="1"/>
      <w:marLeft w:val="0"/>
      <w:marRight w:val="0"/>
      <w:marTop w:val="0"/>
      <w:marBottom w:val="0"/>
      <w:divBdr>
        <w:top w:val="none" w:sz="0" w:space="0" w:color="auto"/>
        <w:left w:val="none" w:sz="0" w:space="0" w:color="auto"/>
        <w:bottom w:val="none" w:sz="0" w:space="0" w:color="auto"/>
        <w:right w:val="none" w:sz="0" w:space="0" w:color="auto"/>
      </w:divBdr>
    </w:div>
    <w:div w:id="1590190323">
      <w:bodyDiv w:val="1"/>
      <w:marLeft w:val="0"/>
      <w:marRight w:val="0"/>
      <w:marTop w:val="0"/>
      <w:marBottom w:val="0"/>
      <w:divBdr>
        <w:top w:val="none" w:sz="0" w:space="0" w:color="auto"/>
        <w:left w:val="none" w:sz="0" w:space="0" w:color="auto"/>
        <w:bottom w:val="none" w:sz="0" w:space="0" w:color="auto"/>
        <w:right w:val="none" w:sz="0" w:space="0" w:color="auto"/>
      </w:divBdr>
    </w:div>
    <w:div w:id="20672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84" Type="http://schemas.openxmlformats.org/officeDocument/2006/relationships/image" Target="media/image984.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2AE19-9EDC-4E1F-86B9-E34C93EE3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594</Words>
  <Characters>3387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Каппасова Гульсара Абдрашевна</dc:creator>
  <cp:lastModifiedBy>Бахтияр Әлайдаров Бахбергенұлы</cp:lastModifiedBy>
  <cp:revision>12</cp:revision>
  <cp:lastPrinted>2025-11-21T09:46:00Z</cp:lastPrinted>
  <dcterms:created xsi:type="dcterms:W3CDTF">2025-12-03T08:20:00Z</dcterms:created>
  <dcterms:modified xsi:type="dcterms:W3CDTF">2026-01-12T04:41:00Z</dcterms:modified>
</cp:coreProperties>
</file>